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7F" w:rsidRPr="005977BD" w:rsidRDefault="00C93D7F" w:rsidP="00C93D7F">
      <w:pPr>
        <w:pStyle w:val="Heading4"/>
        <w:numPr>
          <w:ilvl w:val="3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BD">
        <w:rPr>
          <w:rFonts w:ascii="Times New Roman" w:hAnsi="Times New Roman" w:cs="Times New Roman"/>
          <w:sz w:val="28"/>
          <w:szCs w:val="28"/>
        </w:rPr>
        <w:t>22. Cho phép trung tâm học tập cộng đồng hoạt động trở lại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i/>
          <w:iCs/>
          <w:sz w:val="28"/>
          <w:szCs w:val="28"/>
          <w:lang w:val="vi-VN"/>
        </w:rPr>
        <w:t>22.</w:t>
      </w:r>
      <w:r w:rsidRPr="005977BD"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  <w:t>1. Trình tự thực hiện</w:t>
      </w:r>
    </w:p>
    <w:p w:rsidR="00C93D7F" w:rsidRPr="00455161" w:rsidRDefault="00C93D7F" w:rsidP="00C93D7F">
      <w:pPr>
        <w:pStyle w:val="Heading4"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a)Sau thời gian đình chỉ, nếu trung tâm học tập cộng đồng khắc phục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được những nguyên nhân dẫn đến việc đình chỉ, Ủy ban nhân dân cấp xã gửi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trực tiếp hoặc qua bưu điện 01 bộ hồ sơ đến Phòng Giáo dục và Đào tạo;</w:t>
      </w:r>
    </w:p>
    <w:p w:rsidR="00C93D7F" w:rsidRPr="00455161" w:rsidRDefault="00C93D7F" w:rsidP="00C93D7F">
      <w:pPr>
        <w:pStyle w:val="Heading4"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b)Trong thời hạn 10 ngày làm việc, phòng Giáo dục và Đào tạo tiếp nhận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hồ sơ, tổ chức thẩm định các điều kiện trình Chủ tịch Ủy ban nhân dân cấp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huyện xem xét, quyết định;</w:t>
      </w:r>
    </w:p>
    <w:p w:rsidR="00C93D7F" w:rsidRPr="00455161" w:rsidRDefault="00C93D7F" w:rsidP="00C93D7F">
      <w:pPr>
        <w:pStyle w:val="Heading4"/>
        <w:spacing w:line="288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c) Trong thời hạn 05 ngày làm việc, kể từ ngày nhận đủ hồ sơ hợp lệ, Chủ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tịch Ủy ban nhân dân cấp huyện quyết định cho phép trung tâm học tập cộng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đồng hoạt động trở lại. Nếu chưa cho phép hoạt động giáo dục thì có văn bản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thông báo cho Ủy ban nhân dân cấp xã và Phòng Giáo dục và Đào tạo nêu rõ lý</w:t>
      </w:r>
      <w:r w:rsidRPr="00045D7D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455161">
        <w:rPr>
          <w:rFonts w:ascii="Times New Roman" w:hAnsi="Times New Roman" w:cs="Times New Roman"/>
          <w:b w:val="0"/>
          <w:sz w:val="28"/>
          <w:szCs w:val="28"/>
          <w:lang w:val="vi-VN"/>
        </w:rPr>
        <w:t>do và hướng giải quyết.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i/>
          <w:iCs/>
          <w:sz w:val="28"/>
          <w:szCs w:val="28"/>
          <w:lang w:val="vi-VN"/>
        </w:rPr>
        <w:t>22.</w:t>
      </w:r>
      <w:r w:rsidRPr="005977BD"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  <w:t>2. Cách thức thực hiện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Trực tiếp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hoặc qua bưu điện.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i/>
          <w:iCs/>
          <w:sz w:val="28"/>
          <w:szCs w:val="28"/>
          <w:lang w:val="vi-VN"/>
        </w:rPr>
        <w:t>22.</w:t>
      </w:r>
      <w:r w:rsidRPr="005977BD"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  <w:t>3. Thành phần, số lượng hồ sơ: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Hồ sơ gồm: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- Tờ trình cho phép hoạt động trở lại;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- Quyết định thành lập đoàn kiểm tra;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c) Biên bản kiểm tra.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Số lượ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ng hồ sơ: 01 bộ.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i/>
          <w:iCs/>
          <w:sz w:val="28"/>
          <w:szCs w:val="28"/>
          <w:lang w:val="vi-VN"/>
        </w:rPr>
        <w:t>22.</w:t>
      </w:r>
      <w:r w:rsidRPr="005977BD">
        <w:rPr>
          <w:rFonts w:ascii="Times New Roman" w:eastAsia="Times New Roman,Italic" w:hAnsi="Times New Roman" w:cs="Times New Roman"/>
          <w:i/>
          <w:iCs/>
          <w:sz w:val="28"/>
          <w:szCs w:val="28"/>
          <w:lang w:val="vi-VN"/>
        </w:rPr>
        <w:t>4. Thời hạn giải quyết: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15 ngày làm việc kể từ ngày nhận đủ hồ sơ hợp lệ.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i/>
          <w:sz w:val="28"/>
          <w:szCs w:val="28"/>
          <w:lang w:val="vi-VN"/>
        </w:rPr>
        <w:t>22.5. Đối tượng thực hiện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Ủy ban nhân dân cấp xã.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i/>
          <w:sz w:val="28"/>
          <w:szCs w:val="28"/>
          <w:lang w:val="vi-VN"/>
        </w:rPr>
        <w:t>22.6. Cơ quan thực hiện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a) Cơ quanNgười có thẩm quyền quyết định: Chủ tịch Ủy ban nhân dân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cấp huyện;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b) Cơ quan trực tiếp thực hiện: Phòng Giáo dục và Đào tạo.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i/>
          <w:sz w:val="28"/>
          <w:szCs w:val="28"/>
          <w:lang w:val="vi-VN"/>
        </w:rPr>
        <w:t>22.7. Kết quả thực hiện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Quyết định cho phép trung tâm học tập cộng đồng hoạt động trở lại của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Chủ tịch Uỷ ban nhân dân cấp huyện.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i/>
          <w:sz w:val="28"/>
          <w:szCs w:val="28"/>
          <w:lang w:val="vi-VN"/>
        </w:rPr>
        <w:t>22.8. Lệ phí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Không.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sz w:val="28"/>
          <w:szCs w:val="28"/>
          <w:lang w:val="vi-VN"/>
        </w:rPr>
        <w:t>22.9. Tên mẫu đơn, mẫu tờ khai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Không.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sz w:val="28"/>
          <w:szCs w:val="28"/>
          <w:lang w:val="vi-VN"/>
        </w:rPr>
        <w:lastRenderedPageBreak/>
        <w:t>22.10. Yêu cầu, điều kiện thực hiện thủ tục hành chính</w:t>
      </w:r>
    </w:p>
    <w:p w:rsidR="00C93D7F" w:rsidRPr="005977BD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977BD">
        <w:rPr>
          <w:rFonts w:ascii="Times New Roman" w:hAnsi="Times New Roman" w:cs="Times New Roman"/>
          <w:sz w:val="28"/>
          <w:szCs w:val="28"/>
          <w:lang w:val="vi-VN"/>
        </w:rPr>
        <w:t>Sau thời gian đình chỉ, nếu trung tâm học tập cộng đồng khắc phục được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những nguyên nhân dẫn đến việc đình chỉ thì Phòng Giáo dục và Đào tạo tổ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chức kiểm tra và trình Chủ tịch Ủy ban nhân dân cấp huyện quyết định cho phép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trung tâm học tập cộng đồng hoạt động trở lại và phải được công bố công khai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trên các phương tiện thông tin đại chúng.</w:t>
      </w:r>
    </w:p>
    <w:p w:rsidR="00C93D7F" w:rsidRPr="00807163" w:rsidRDefault="00C93D7F" w:rsidP="00C9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07163">
        <w:rPr>
          <w:rFonts w:ascii="Times New Roman" w:hAnsi="Times New Roman" w:cs="Times New Roman"/>
          <w:sz w:val="28"/>
          <w:szCs w:val="28"/>
          <w:lang w:val="vi-VN"/>
        </w:rPr>
        <w:t>22.11. Căn cứ pháp lý của thủ tục hành chính</w:t>
      </w:r>
    </w:p>
    <w:p w:rsidR="007073C8" w:rsidRDefault="00C93D7F" w:rsidP="00C93D7F">
      <w:r w:rsidRPr="005977BD">
        <w:rPr>
          <w:rFonts w:ascii="Times New Roman" w:hAnsi="Times New Roman" w:cs="Times New Roman"/>
          <w:sz w:val="28"/>
          <w:szCs w:val="28"/>
          <w:lang w:val="vi-VN"/>
        </w:rPr>
        <w:t>Nghị định số 46/2017/NĐ-CP ngày 21/4/2017 của Chính phủ quy định về</w:t>
      </w:r>
      <w:r w:rsidRPr="00045D7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977BD">
        <w:rPr>
          <w:rFonts w:ascii="Times New Roman" w:hAnsi="Times New Roman" w:cs="Times New Roman"/>
          <w:sz w:val="28"/>
          <w:szCs w:val="28"/>
          <w:lang w:val="vi-VN"/>
        </w:rPr>
        <w:t>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,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752"/>
    <w:multiLevelType w:val="multilevel"/>
    <w:tmpl w:val="2D36E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4B259A"/>
    <w:multiLevelType w:val="multilevel"/>
    <w:tmpl w:val="7C1A51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67"/>
    <w:rsid w:val="00046924"/>
    <w:rsid w:val="001068F6"/>
    <w:rsid w:val="001A4258"/>
    <w:rsid w:val="00430FA8"/>
    <w:rsid w:val="004F2B67"/>
    <w:rsid w:val="007073C8"/>
    <w:rsid w:val="00797A15"/>
    <w:rsid w:val="00866D5D"/>
    <w:rsid w:val="00C0084A"/>
    <w:rsid w:val="00C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887F4-8267-41C2-844E-16B7238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7F"/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qFormat/>
    <w:rsid w:val="00C93D7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Liberation Serif" w:eastAsia="DejaVu Sans" w:hAnsi="Liberation Serif" w:cs="DejaVu Sans"/>
      <w:b/>
      <w:bCs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3D7F"/>
    <w:rPr>
      <w:rFonts w:ascii="Liberation Serif" w:eastAsia="DejaVu Sans" w:hAnsi="Liberation Serif" w:cs="DejaVu Sans"/>
      <w:b/>
      <w:bCs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9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2019-01-16T12:36:00Z</dcterms:created>
  <dcterms:modified xsi:type="dcterms:W3CDTF">2019-01-16T12:36:00Z</dcterms:modified>
</cp:coreProperties>
</file>