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b/>
          <w:bCs/>
          <w:sz w:val="28"/>
          <w:szCs w:val="28"/>
        </w:rPr>
      </w:pPr>
      <w:r w:rsidRPr="001E2949">
        <w:rPr>
          <w:rStyle w:val="fontstyle11"/>
          <w:color w:val="auto"/>
        </w:rPr>
        <w:t>1. Thủ tục cho phép cơ sở giáo dục khác thực hiện chương trình giáo</w:t>
      </w:r>
      <w:r>
        <w:rPr>
          <w:rStyle w:val="fontstyle11"/>
          <w:color w:val="auto"/>
        </w:rPr>
        <w:t xml:space="preserve"> </w:t>
      </w:r>
      <w:r w:rsidRPr="001E2949">
        <w:rPr>
          <w:rStyle w:val="fontstyle11"/>
          <w:color w:val="auto"/>
        </w:rPr>
        <w:t>dục tiểu học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1.1. Trình tự thực hiện: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a) Tổ chức, cá nhân gửi trực tiếp hoặc qua bưu điện 01 bộ hồ sơ đến Ủy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ban nhân dân cấp xã;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b) Ủy ban nhân dân cấp xã tiếp nhận hồ sơ. Nếu hồ sơ chưa đúng quy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định thì thông báo bằng văn bản những nội dung cần chỉnh sửa, bổ sung cho tổ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chức, cá nhân trong thời hạn 05 ngày làm việc, kể từ ngày nhận hồ sơ;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c) Trong thời hạn 20 ngày làm việc, kể từ ngày nhận đủ hồ sơ hợp lệ, Chủ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tịch Ủy ban nhân dân cấp xã xem xét, quyết định cho phép cơ sở giáo dục khác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thực hiện chương trình giáo dục tiểu học; nếu chưa cho phép thì có văn bản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thông báo cho tổ chức, cá nhân nêu rõ lý do và hướng giải quyết.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1.2. Cách thức thực hiện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Trực tiếp hoặc qua bưu điện.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1.3. Thành phần, số lượng hồ sơ: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Hồ sơ gồm: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- Tờ trình đề nghị cho phép thực hiện chương trình giáo dục tiểu học;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- Bản sao có chứng thực văn bằng, chứng chỉ hợp lệ của người dự kiến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phụ trách cơ sở giáo dục;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- Văn bản nhận bảo trợ của một trường tiểu học cùng địa bàn trong huyện.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Số lượng hồ sơ: 01 bộ.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1.4. Thời hạn giải quyết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20 ngày làm việc.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1.5. Đối tượng thực hiện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Tổ chức, cá nhân.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1.6. Cơ quan thực hiện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Ủy ban nhân dân cấp xã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1.7. Kết quả thực hiện: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</w:pPr>
      <w:r w:rsidRPr="001E2949">
        <w:rPr>
          <w:rStyle w:val="fontstyle01"/>
          <w:color w:val="auto"/>
          <w:sz w:val="28"/>
          <w:szCs w:val="28"/>
        </w:rPr>
        <w:t>Quyết định cho phép cơ sở giáo dục khác thực hiện chương trình giáo dục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tiểu học của Chủ tịch Ủy ban nhân dân cấp xã.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1.8. Lệ phí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Không.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1.9. Tên mẫu đơn, mẫu tờ khai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Không.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1.10. Yêu cầu, điều kiện: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- Đáp ứng yêu cầu hỗ trợ phổ cập giáo dục tiểu học của địa phương.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lastRenderedPageBreak/>
        <w:t>- Được một trường tiểu học nhận bảo trợ và giúp cơ quan có thẩm quyền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quản lý về chương trình giáo dục, kế hoạch dạy học, sách giáo khoa và tài liệu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tham khảo, hoạt động giáo dục, hồ sơ phục vụ hoạt động giáo dục trong trường,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đánh giá, xếp loại học sinh.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- Có đội ngũ cán bộ quản lý, giáo viên đạt chuẩn theo quy định.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- Phòng học: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+ Bảo đảm đúng quy cách, đủ ánh sáng, thoáng mát về mùa hè, ấm áp về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mùa đông, an toàn cho giáo viên và học sinh theo quy định về vệ sinh trường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học; có điều kiện tối thiểu dành cho học sinh khuyết tật học tập thuận lợi;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+ Có các thiết bị: Bàn, ghế học sinh đúng quy cách và đủ chỗ ngồi cho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học sinh; bàn, ghế giáo viên; bảng lớp; hệ thống đèn và hệ thống quạt (ở nơi có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điện); hệ thống tủ đựng hồ sơ, thiết bị dạy học.</w:t>
      </w:r>
    </w:p>
    <w:p w:rsidR="00815E68" w:rsidRPr="001E2949" w:rsidRDefault="00815E68" w:rsidP="00815E68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1.11. Căn cứ pháp lý</w:t>
      </w:r>
    </w:p>
    <w:p w:rsidR="007073C8" w:rsidRDefault="00815E68" w:rsidP="00815E68">
      <w:r w:rsidRPr="001E2949">
        <w:rPr>
          <w:rStyle w:val="fontstyle01"/>
          <w:color w:val="auto"/>
          <w:sz w:val="28"/>
          <w:szCs w:val="28"/>
        </w:rPr>
        <w:t>Nghị định số 46/2017/NĐ-CP ngày 21 tháng 4 năm 2017 của Chính phủ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quy định về điều kiện đầu tư và hoạt động trong lĩnh vực giáo dục.</w:t>
      </w:r>
      <w:bookmarkStart w:id="0" w:name="_GoBack"/>
      <w:bookmarkEnd w:id="0"/>
    </w:p>
    <w:sectPr w:rsidR="007073C8" w:rsidSect="00E03B75">
      <w:pgSz w:w="11907" w:h="16840" w:code="9"/>
      <w:pgMar w:top="709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37"/>
    <w:rsid w:val="00046924"/>
    <w:rsid w:val="001068F6"/>
    <w:rsid w:val="001A4258"/>
    <w:rsid w:val="00430FA8"/>
    <w:rsid w:val="007073C8"/>
    <w:rsid w:val="00797A15"/>
    <w:rsid w:val="00815E68"/>
    <w:rsid w:val="00866D5D"/>
    <w:rsid w:val="00C0084A"/>
    <w:rsid w:val="00E03B75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B83B9-FC61-4A47-8B10-32952AF6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6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15E6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815E6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815E6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3</cp:revision>
  <dcterms:created xsi:type="dcterms:W3CDTF">2019-01-16T12:58:00Z</dcterms:created>
  <dcterms:modified xsi:type="dcterms:W3CDTF">2019-01-16T13:00:00Z</dcterms:modified>
</cp:coreProperties>
</file>