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b/>
          <w:bCs/>
          <w:sz w:val="28"/>
          <w:szCs w:val="28"/>
        </w:rPr>
      </w:pPr>
      <w:r w:rsidRPr="001E2949">
        <w:rPr>
          <w:rStyle w:val="fontstyle11"/>
          <w:color w:val="auto"/>
        </w:rPr>
        <w:t>4. Thủ tục sáp nhập, chia, tách nhóm trẻ, lớp mẫu giáo độc lập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4.1. Trình tự thực hiện: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Tổ chức, cá nhân gửi trực tiếp hoặc qua bưu điện 01 bộ hồ sơ đến Ủy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ban nhân dân cấp xã. Trong thời hạn 05 ngày làm việc, kể từ ngày nhận đủ hồ sơ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hợp lệ, Ủy ban nhân dân cấp xã có văn bản gửi Phòng Giáo dục và Đào tạo đề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nghị kiểm tra các điều kiện sáp nhập, chia, tách nhóm trẻ, lớp mẫu giáo độc lập;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Trong thời hạn 10 ngày làm việc, Phòng Giáo dục và Đào tạo xem xét,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kiểm tra trên thực tế, nếu thấy đủ điều kiện, Phòng Giáo dục và Đào tạo có ý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kiến bằng văn bản gửi Ủy ban nhân dân cấp xã;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 Trong thời hạn 10 ngày làm việc, kể từ ngày nhận được văn bản trả lời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của Phòng Giáo dục và Đào tạo, Chủ tịch Ủy ban nhân dân cấp xã quyết định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sáp nhập, chia, tách. Nếu không sáp nhập, chia, tách nhóm trẻ, lớp mẫu giáo độc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lập thì có văn bản thông báo đến Phòng Giáo dục và Đào tạo và tổ chức, cá nhân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nộp hồ sơ nêu rõ lý do.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4.2. Cách thức thực hiện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Trực tiếp hoặc qua bưu điện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4.3. Thành phần, số lượng hồ sơ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Hồ sơ gồm: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Tờ trình đề nghị sáp nhập, chia, tách nhóm trẻ, lớp mẫu giáo độc lập;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Văn bằng, chứng chỉ có chứng thực của giáo viên.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Số lượng hồ sơ: 01 bộ.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4.4. Thời hạn giải quyết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25 ngày làm việc.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4.5. Đối tượng thực hiện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Tổ chức, cá nhân.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4.6. Cơ quan thực hiện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Cơ quan, người có thẩm quyền quyết định: Chủ tịch Ủy ban nhân dân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cấp xã;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Cơ quan phối hợp: Phòng Giáo dục và Đào tạo.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4.7. Kết quả thực hiện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Quyết định sáp nhập, chia, tách nhóm trẻ, lớp mẫu giáo độc lập của Chủ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tịch Ủy ban nhân dân cấp xã.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4.8. Lệ phí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4.9. Tên mẫu đơn, mẫu tờ khai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4.10. Yêu cầu, điều kiện thực hiện thủ tục hành chính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lastRenderedPageBreak/>
        <w:t>Việc sáp nhập, chia, tách nhóm trẻ, lớp mẫu giáo độc lập phải bảo đảm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các yêu cầu sau đây: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Bảo đảm quy định về giáo viên, số lượng trẻ em trên một nhóm trẻ, lớp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mẫu giáo, tổ chức lớp học;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Bảo đảm an toàn và quyền, lợi ích hợp pháp của trẻ em và giáo viên;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Góp phần nâng cao chất lượng nuôi dưỡng, chăm sóc, giáo dục trẻ em.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4.11. Căn cứ pháp lý của thủ tục hành chính</w:t>
      </w:r>
    </w:p>
    <w:p w:rsidR="008363F5" w:rsidRPr="001E2949" w:rsidRDefault="008363F5" w:rsidP="008363F5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Nghị định số 46/2017/NĐ-CP ngày 21 tháng 4 năm 2017 của Chính phủ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E03B75">
      <w:pgSz w:w="11907" w:h="16840" w:code="9"/>
      <w:pgMar w:top="709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7"/>
    <w:rsid w:val="00046924"/>
    <w:rsid w:val="001068F6"/>
    <w:rsid w:val="001A4258"/>
    <w:rsid w:val="00430FA8"/>
    <w:rsid w:val="007073C8"/>
    <w:rsid w:val="00797A15"/>
    <w:rsid w:val="008363F5"/>
    <w:rsid w:val="00866D5D"/>
    <w:rsid w:val="00C0084A"/>
    <w:rsid w:val="00E03B75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83B9-FC61-4A47-8B10-32952AF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F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363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363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363F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2019-01-16T12:58:00Z</dcterms:created>
  <dcterms:modified xsi:type="dcterms:W3CDTF">2019-01-16T13:00:00Z</dcterms:modified>
</cp:coreProperties>
</file>